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2011/353 vom 23. Oktober 2013</w:t>
      </w:r>
    </w:p>
    <w:p>
      <w:r>
        <w:t>Sg Versicherungsgericht, 2013-10-23, DE</w:t>
      </w:r>
    </w:p>
    <w:p>
      <w:r>
        <w:rPr>
          <w:b/>
        </w:rPr>
        <w:t xml:space="preserve">Quelle: </w:t>
      </w:r>
      <w:r>
        <w:t>https://mcp.opencaselaw.ch/entscheid/sg_publikationen_IV 2011_353</w:t>
      </w:r>
    </w:p>
    <w:p>
      <w:r>
        <w:t>FR: SG_VERSICHERUNGSGERICHT IV 2011/353 du 23 octobre 2013</w:t>
      </w:r>
    </w:p>
    <w:p>
      <w:r>
        <w:t>IT: SG_VERSICHERUNGSGERICHT IV 2011/353 del 23 ottobre 2013</w:t>
      </w:r>
    </w:p>
    <w:p>
      <w:pPr>
        <w:pStyle w:val="Heading2"/>
      </w:pPr>
      <w:r>
        <w:t>Regeste</w:t>
      </w:r>
    </w:p>
    <w:p>
      <w:r>
        <w:t>Art. 28 Abs. 2 IVG; Art. 8 Abs. 3 lit. b IVG Würdigung des Berichts eines Suva-Kreisarztes und von Stellungnahmen des RAD. Unter Berücksichtigung einer Arbeitsfähigkeit von 75 % in einer leidensadaptierten Tätigkeit sowie eines Abzugs vom Tabellenlohn von 10 % resultiert ein Invaliditätsgrad von 33 %. Damit besteht kein Rentenanspruch. Anspruch auf Massnahmen beruflicher Art verneint (Entscheid des Versicherungsgerichts des Kantons St. Gallen vom 23. Oktober 2013, IV 2011/353).</w:t>
      </w:r>
    </w:p>
    <w:p>
      <w:pPr>
        <w:pStyle w:val="Heading2"/>
      </w:pPr>
      <w:r>
        <w:t>Erwägungen</w:t>
      </w:r>
    </w:p>
    <w:p>
      <w:r>
        <w:rPr>
          <w:b/>
        </w:rPr>
        <w:t>E. 1</w:t>
      </w:r>
    </w:p>
    <w:p>
      <w:r>
        <w:t>1.1  Als Invalidität gilt gemäss Art. 8 Abs. 1 ATSG die voraussichtlich bleibende oder länger dauernde ganze oder teilweise Erwerbsunfähigkeit. Nach Art. 28 Abs. 2 IVG hat die versicherte Person Anspruch auf eine ganze Rente, wenn sie mindestens zu 70 %, auf eine Dreiviertelsrente, wenn sie mindestens zu 60 %, auf eine halbe Rente, wenn sie mindestens zu 50 % oder auf eine Viertelsrente, wenn sie mindestens zu 40 % invalid ist. Für die Bemessung der Invalidität von erwerbstätigen Versicherten ist ge­mäss Art. 28a Abs. 1 IVG Art. 16 ATSG anwendbar. Demnach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1.2  Eine der Grundlagen der Bemessung des zumutbaren Invalideneinkommens ist die Arbeitsfähigkeitsschätzung. Um das Ausmass der Arbeitsunfähigkeit beurteilen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In beweis­rechtlicher Hinsicht gilt in Bezug auf alle Unterlagen der Grundsatz der freien Beweis­würdigung (BGE 122 V 157; BGE 123 V 331 Erw. 1c).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2</w:t>
      </w:r>
    </w:p>
    <w:p>
      <w:r>
        <w:t>2.1  Zunächst ist die Frage zu beantworten, ob die medizinische Aktenlage eine rechts­genügliche Beurteilung der Arbeitsfähigkeit des Beschwerdeführers erlaubt. 2.2  Die Beschwerdegegnerin hat sich für die Beurteilung der zumutbaren Arbeits­leistung des Beschwerdeführers auf die internen Aktennotizen der RAD-Ärzte Dr. I.___ vom 8. Juli 2011 (IV-act. 23) und Dr. K.___ vom 30. September 2011 (IV-act. 32) gestützt. Diese wiederum haben sich bei ihren Einschätzungen auf die medizinische Aktenlage der Suva gestützt. Der Beschwerdeführer hält unter anderem dagegen, die Beschwerdegegnerin hätte keine genügenden Abklärungen hinsichtlich der psychischen Beschwerden vorgenommen; er könne aufgrund seiner psychischen Störungen, seiner Ellbogenbeschwerden sowie der Nacken-, Rücken- und Kopfschmerzen im besten Fall ein minimales Pensum von ein paar wenigen Stunden in der Woche bewältigen (act. G 1). 2.3  Im Bericht vom 6. Dezember 2010, welcher unter anderem auf einer Kernspintomo­graphie cervical vom 1. Februar 2010, auf den Untersuchungen von Dr. med. L.___ (Facharzt FMH Urologie) vom 26. März 2010 und des Neurologen Dr. B.___ vom 24. Februar 2010 sowie auf einer eigenen Untersuchung vom 9. Juni 2010 basiert (vgl. nicht nummerierte Fremdakten, in act. G 4.2), hat Suva-Kreisarzt Dr. C.___ unter anderem Folgendes ausgeführt: Die Bewegungsumfänge des rechten Ellbogens seien reduziert auf Extension/Flexion 3-30-130 Grad bei Pro/Supination 90-0-90 Grad und nahezu schmerzfrei. Das Kantonsspital St. Gallen (KSSG) habe den Beschwerdeführer am 21. Oktober 2009 mit einer Extension/Flexion von 0-25-120 Grad bei einem Streck­defizit von 25 Grad schmerzhaft, mit weichem Anschlag und symmetrisch schmerzfreier Pro/Supination beurteilt. Am 7. Januar 2010 sei eine therapeutische Infiltration am rechten Ellbogen mit Bupivacain und Kenakort erfolgt. Am 11. Februar 2010 habe der Beschwerdeführer in der Verlaufskontrolle keine wesentliche Befundverbesserung nach der Infiltration erwähnt. Von einem operativen Vorgehen sei keine wesentliche Ver­besserung der Beschwerden erwartet  und die Behandlung daher abgeschlossen worden. Dr. E.___ habe am 22. März 2010 über eine Besserung der HWS-Beweglich­keit und der Schlafqualität mit regelmässigen gymnastischen Übungen mit noch Muskel­verspannung im Schulter- und Nackenbereich ohne neurologische Ausfälle berichtet. Auch der psychische Zustand habe sich verbessert. Die festgestellte Arthrose im Ell­bogen sei vorbestehend, offenbar bis anhin asymptomatisch gewesen und durch die Kontusion manifest geworden. Es bestehe eine wahrscheinliche Überlagerung durch nicht organische Komponente, wie sich auch im anderen Fall betreffend HWS zeige. Das Nichtansprechen auf die Infiltration im KSSG werde dahingehend interpretiert, dass die intraartikuläre Pathologie nicht wesentlich massgebend sei für die Beschwerden. Er verweise auf die klinischen Befunde bei der Untersuchung mit Empfehlung zum Ergreifen der Möglichkeit des Einsatzes für leichte Tätigkeit im Rahmen 75 % auf dem Allgemeinen Arbeitsmarkt unter Offenlassen der nicht organischen Komponente im Ein­fluss auf die Arbeitsfähigkeit (Bericht, S. 2 f.). Der Bericht des Suva-Kreisarztes basiert auf einer umfassenden Kenntnis des Sachverhalts. Eigene Befunde und Beobachtun­gen anlässlich der Untersuchung vom 9. Juni 2010 sind erhoben worden. Auch die Be­schwerdebeschreibung des Beschwerdeführers und die Suva-Akten haben in den Be­richt Eingang gefunden. Die Beurteilung der zumutbaren Arbeitsleistung ist in Kenntnis der Vorakten (Anamnese) abgegeben worden. Der Bericht leuchtet in der Darlegung der medizinischen Zusammenhänge und in der Beurteilung der medizinischen Sicht ein. Daher vermögen auch die darin enthaltenen Schlussfolgerungen, namentlich die Be­urteilung der Arbeitsfähigkeit (75 % in einer leichten Tätigkeit), zu überzeugen. Mithin kommt dem Bericht voller Beweiswert zu, zumal auch Dr. B.___ im Bericht vom 26. Feb­ruar 2010 keinerlei Hinweise für eine Schädigung im Bereich des Nervensystems gefunden hat, im Bericht der Rehaklinik Bellikon vom 19. April 2010 keine Bedenken gegen die Suche einer neuen Arbeitsstelle vorhanden gewesen sind (nicht nummerierte Fremdakten, in act. G 4.2) und die RAD-Ärzte Dr. I.___ und Dr. K.___ sogar von einer möglichen Steigerung der Arbeitsfähigkeit in einer adaptierten Tätigkeit auf 100 % ausgegangen sind (IV-act. 23, 32). Daher ist mit überwiegender Wahrscheinlichkeit von einer Arbeitsfähigkeit in einer leichten Tätigkeit von mindestens 75 % auszugehen. 2.4  Soweit in der Beschwerde geltend gemacht wird, die vom Suva-Kreisarzt be­scheinigte Arbeitsfähigkeit im Umfang von 75 % für leichte Tätigkeiten lasse sich auf­grund der diagnostizierten posttraumatischen Belastungsstörung, der mittelgradigen de­pressiven Episode bzw. depressiven Störung, des Nacken-Kopf Distorsionstraumas sowie des Harndrangs und der damit einhergehenden 75 %igen bis 100 %igen Arbeits­unfähigkeit nicht halten, kann dem nicht beigepflichtet werden. Für die erwähnten Diag­nosen findet sich keine organische Grundlage. Aus Gründen der Rechtsgleichheit ist es daher geboten, sämtliche pathogenetisch-ätiologisch unklaren syndromalen Be­schwerdebilder ohne nachweisbare organische Grundlage den gleichen sozialver­sicherungsrechtlichen Anforderungen zu unterstellen (Urteil des Bundesgerichts vom 14. April 2008, I 70/07, E. 5). Aus rechtlicher und auch aus Sicht der RAD-Ärzte be­stehen keine hinreichenden Gründe anzunehmen, die psychischen Ressourcen er­laubten es dem Beschwerdeführer nicht, trotz seiner Schmerzen eine leichte Tätigkeit im Umfang von mindestens 75 % auszuüben, zumal die Rehaklinik Bellikon im Rahmen ihrer Untersuchungen im Bericht vom 19. April 2010 diverse Inkonsistenzen, eine Selbstlimitierung sowie ein demonstrierendes/appellatives Verhalten des Beschwerde­führers und eine erhebliche Symptomausweitung festgestellt hat (vgl. ausgefüllter Fragebogen "Umgang mit Schmerz, Leistungsverhalten und Konsistenz", S. 10 f., nicht nummerierte Fremdakten, in act. G 4.2). Vor diesem Hintergrund kann in den erwähnten Beschwerdebildern keine invalidisierende Gesundheitsschädigung erblickt werden. Dass die beiden RAD-Ärzte Dr. I.___ und Dr. K.___ im Übrigen nicht selber Unter­suchungen durchgeführt haben, schmälert den Beweiswert ihrer Beurteilungen nicht schon an sich; vielmehr können Berichte des RAD, auch wenn seine Fachärzte keine persönlichen Untersuchungen durchgeführt vorgenommen haben, die Qualität von Gut­achten aufweisen (Urteil des Bundesgerichts vom 14. Juli 2009, 9C_323/2009, E. 4.3.1; SVR 2009 IV Nr. 56 S. 174). Auf die Stellungnahmen des RAD kann abgestellt werden, weil sie den von der Rechtsprechung an medizinische Berichte gestellten Anforde­rungen (vgl. BGE 135 V 254 E. 3.3 und 3.4 S. 257 ff.) genügen: Die internen Stellung­nahmen vom 8. Juli und 30. September 2011 stammen von Fachärzten (FMH für Psychiatrie und Psychotherapie). Diese haben sich kritisch mit den in den Akten liegen­den fachärztlichen Stellungnahmen der Suva auseinandergesetzt und auch plausible Schlüsse bezüglich des unfallfremden Gesundheitsschadens unter Einbezug der Kriterien der ICD-10 gezogen (vgl. Urteil des Bundesgerichts vom 7. Juni 2013, 9C_649/2012, E. 3.2). 2.5  Angesichts der umfassenden medizinischen Abklärung der Suva besteht kein Anlass zu weiteren ärztlichen Untersuchungen, weil davon für den massgeblichen Zeit­punkt des Verfügungserlasses (6. Oktober 2011) keine neuen Erkenntnisse zu erwarten sind. Es finden sich in den Akten im Übrigen auch keine Hinweise darauf, dass sich die Arbeitsfähigkeit bis zum Erlass der angefochtenen Verfügung geändert haben könnte. Deshalb steht mit überwiegender Wahrscheinlichkeit fest, dass der Beschwerdeführer in einer adaptierten Erwerbstätigkeit zu mindestens 75 % arbeitsfähig ist. 2.6  Zu prüfen ist im Weiteren die in der angefochtenen Verfügung vorgenommene Invaliditätsbemessung. Diese hat mittels eines Einkommensvergleichs zu erfolgen. 2.7  Für die Ermittlung des Einkommens, welches der Beschwerdeführer ohne Invalidität erzielen könnte (Valideneinkommen), ist entscheidend, was er im Zeitpunkt des mög­lichen Rentenbeginns nach dem Beweisgrad der überwiegenden Wahrscheinlichkeit als Gesunder tatsächlich verdient hätte (BGE 129 V 222 E. 4.3.1). Da das Wartejahr im Sinne von Art. 28 Abs. 1 lit. b IVG mit dem Eintritt der - zeitlich und masslich genügen­den - Arbeitsunfähigkeit, definiert als "Einbusse an funktionellem Leistungsvermögen im bisherigen Beruf oder Aufgabenbereich" (BGE 130 V 99 E. 3.2 mit Hin­weisen), beginnt, und ausgehend davon, dass der Beschwerdeführer ab 1. Februar 2010 anhaltend zu 100 % bzw. ab 29. März 2010 zu 50 % arbeitsunfähig geschrieben (Arztzeugnis UVG Dr. E.___ vom 15. März 2010, Unfallschein UVG der Suva mit Ein­tragungen der Arbeitsunfähigkeiten von Dr. E.___; Bericht von Dr. med. M.___ vom 20. Mai 2011; nicht nummerierte Fremdakten, in act. G 4.2) und die Anmeldung im März 2011 (IV-act. 1-6) erfolgt ist (BGE 138 V 475), sind bei einem allfälligen Leistungsanspruch ab September 2011 dem Ein­kommensvergleich somit die Lohnverhältnisse im Jahre 2011 zu Grunde zu legen. Ge­mäss den Angaben der ehemaligen Arbeitgeberin hätte der Beschwerdeführer im Jahr 2009 als Pro­duktionsmitarbeiter in der Bearbeitung ein Einkommen von Fr. 54'600.-- (Fr. 4'200.-- x 13) erzielt (IV-act. 11-2). Aufgerechnet auf das Jahr 2011 ergibt sich ein Einkommen von Fr. 55'495.-- (Nominallohnindex Männer 2009: 2136 / 2011: 2171). Der Be­schwerdeführer verfügt nicht über einen Berufsabschluss und ist bis anhin immer als angelernter Mitarbeiter tätig gewesen (Bericht der Rehaklinik Bellikon vom 19. April 2010; nicht nummerierte Fremdakten, in act. G 4.2; IV-act. 1-4, 11-2). Das Durch­schnittseinkommen der Hilfsarbeiter gemäss Anhang 2 der Textausgabe Invalidenver­sicherung, Gesetze und Verordnungen mit Querverweisen und Sachregister, Ausgabe 2012, S. 234, basierend auf der Schweizerische Lohnstrukturerhebung (LSE) des Bundesamtes für Statistik, belief sich im Jahr 2010 auf Fr. 61'414.--, aufgerechnet auf 2011 auf Fr. 62'014.-- (Nominallohnindex Männer 2010: 2150 / 2011: 2171). Es ist davon auszugehen, dass der Beschwerdeführer als Valider nach der Kündigung aus wirtschaftlichen Gründen eine durchschnittlich bezahlte Hilfsarbeit angenommen hätte, wenn ihm eine solche angeboten worden wäre. Es rechtfertigt sich daher, von einem Valideneinkommen 2011 von Fr. 62'014.-- auszugehen. 2.8  Der Beschwerdeführer war seit April 2009 nicht mehr erwerbstätig (IV-act. 11-1, 12-1, 20-1). Beim Invalideneinkommen ist mithin auf die Tabellenlöhne der LSE abzustellen (BGE 129 V 472 Erw. 4.2.1). Das durchschnittliche Bruttoeinkommen von Männern für einfache und repetitive Tätigkeiten 2011 lag gemäss Ausführungen in E. 2.7 bei Fr. 62'014.--. 2.9  Nach der Rechtsprechung können die statistischen Löhne um bis zu 25% gekürzt werden, um dem Umstand Rechnung zu tragen, dass versicherte Personen mit einer gesundheitlichen Beeinträchtigung in der Regel das durchschnittliche Lohnniveau nicht erreichen (RKUV 1999 Nr. U242 S. 412 Erw. 4b/bb) bzw. ihre Restarbeitsfähigkeit auf dem allgemeinen Arbeitsmarkt nur mit unterdurchschnittlichem erwerblichem Erfolg zu verwerten in der Lage sind (BGE 126 V 78 Erw. 5a/bb). Nach der Rechtsprechung hängt die Frage, ob und in welchem Ausmass Tabellenlöhne herabzusetzen sind, von sämt­lichen persönlichen und beruflichen Umständen des konkreten Einzelfalls ab (nament­lich leidensbedingte Einschränkung, Alter, Dienstjahre, Nati­onalität/Aufenthaltskategorie und Beschäftigungsgrad), die nach pflichtgemässem Ermessen gesamthaft zu schätzen sind. Eine schematische Vornahme des Tabellenlohnabzugs ist unzulässig (BGE 126 V 79 Erw. 5b, bestätigt in AHI 2002 S. 62 und BGE 129 V 481 Erw. 4.2.3 mit Hin­weisen). Die Beschwerdegegnerin hat keinen Abzug vorgenommen (IV-act. 33-1 f.). Vorliegend erscheint es jedoch plausibel, dass sich insbesondere der Wechsel von einer bisher mittelschweren Tätigkeit als Produktionsmitarbeiter in der Bearbeitung (Stanzen an Stanzmaschine, IV-act. 11-2, 11-6) in eine nur noch leichte Tätigkeit nachteilig auf die Einkommenserzielung in einer Verweistätigkeit auswirkt (vgl. etwa Urteile des Bundesgerichts 9C_133/2011 vom 29. April 2011 E. 3.2, 9C_17/2010 vom 22. April 2010 E. 3.3.3). Unter diesen Umständen erscheint ein Tabellenlohnabzug von 10 % angemessen. Das Durchschnittseinkommen ist somit auf Fr. 55'813.-- herabzusetzen. Bei einer Arbeitsfähigkeit von 75 % ergibt sich per 2011 ein zumutbares Invaliden­einkommen von Fr. 41'859.--.</w:t>
      </w:r>
    </w:p>
    <w:p>
      <w:r>
        <w:rPr>
          <w:b/>
        </w:rPr>
        <w:t>E. 2.10</w:t>
      </w:r>
    </w:p>
    <w:p>
      <w:r>
        <w:t>Aus der Gegenüberstellung von Valideneinkommen von Fr. 62'014.-- und Invalideneinkommen von Fr. 41'859.-- ergibt sich ein Invaliditätsgrad von rund 33 %. Die Beschwerdegegnerin hat somit zu Recht keine Rente zugesprochen.</w:t>
      </w:r>
    </w:p>
    <w:p>
      <w:r>
        <w:rPr>
          <w:b/>
        </w:rPr>
        <w:t>E. 3</w:t>
      </w:r>
    </w:p>
    <w:p>
      <w:r>
        <w:t>3.1  Zu prüfen bleibt, ob auch der Anspruch des Beschwerdeführers auf berufliche Ein­gliederungsmassnahmen zu Recht verneint worden ist. Nach Art. 8 Abs. 1 IVG haben Invalide oder von einer Invalidität unmittelbar bedrohte Versicherte Anspruch auf Ein­gliederungsmassnahmen, soweit diese notwendig und geeignet sind, die Erwerbsfähig­keit oder die Fähigkeit, sich im Aufgabenbereich zu betätigen, wieder herzustellen, zu erhalten oder zu verbessern. Dabei ist die gesamte noch zu erwartende Arbeitsdauer zu berücksichtigen. Die Eingliederungsmassnahmen bestehen insbesondere in Mass­nahmen beruflicher Art (Art. 8 Abs. 3 lit. b i.V.m. Art. 15 ff. IVG). 3.2  In den Akten finden sich keine Hinweise darauf, dass sich der Beschwerdeführer bis zum Verfügungszeitpunkt am 6. Oktober 2011 motiviert zur Durchführung von beruf­lichen Eingliederungsmassnahmen gezeigt hätte. So haben die behandelnden Ärzte der Rehaklinik Bellikon im Bericht vom 19. April 2010 ausgeführt, der Beschwerdeführer gebe an, dass er erst wieder im Gesundheitsfall arbeiten könne und sich aufgrund seiner Schmerzen zu aktivierenden Massnahmen kaum in der Lage sehe. Unter Be­rücksichtigung der problematischen Punkte wurden die Erfolgschancen einer Eingliede­rung als schlecht erachtet (nicht nummerierte Fremdakten, in act. G 4.2). Die Eingliede­rungsverantwortliche hat im FI-Assessmentprotokoll vom 27. Mai 2011 (IV-act. 20-1 f.) ausgeführt, dass sich der Beschwerdeführer absolut nicht arbeitsfähig fühle und sich deshalb auch nie auf dem Regionalen Arbeitsvermittlungszentrum (RAV) gemeldet habe. Er sei damit einverstanden, dass sie die Eingliederungsmassnahmen abschliesse (IV-act. 20-2). Unter diesen Umständen waren berufliche Massnahmen nicht sinnvoll durchführbar. Die Verneinung eines diesbezüglichen Anspruchs in der angefochtenen Verfügung vom 6. Oktober 2011 ist somit nicht zu beanstanden, weshalb auch das Eventualbegehren des Beschwerdeführers abzuweisen ist. 3.3  Sollte der Beschwerdeführer inzwischen ein ernsthaftes Interesse beruflichen Ein­gliederungsmassnahmen entwickelt haben, steht es ihm natürlich frei, der Beschwerde­gegnerin ein entsprechendes Leistungsgesuch einzureichen.</w:t>
      </w:r>
    </w:p>
    <w:p>
      <w:r>
        <w:rPr>
          <w:b/>
        </w:rPr>
        <w:t>E. 4</w:t>
      </w:r>
    </w:p>
    <w:p>
      <w:r>
        <w:t>4.1  Im Sinne der obigen Erwägungen ist die Beschwerde abzuweisen. 4.2  Das Beschwerdeverfahren ist kostenpflichtig. Die Kosten werden nach dem Verfahrensaufwand und unabhängig vom Streitwert im Rahmen von Fr. 200.-- bis Fr. 1'000.-- festgelegt (Art. 69 Abs. 1 bis IVG). Eine Gerichtsgebühr von Fr. 600.-- er­scheint angemessen. Nach Art. 95 Abs. 1 VRP hat in Streitigkeiten jener Beteiligte die Kosten zu tragen, dessen Begehren ganz oder teilweise abgewiesen werden. Angesichts des vollen Unterliegens des Beschwerdeführers rechtfertigt es sich, ihm die Ge­richtskosten unter Anrechnung des von ihm in selbiger Höhe geleisteten Kostenvor­schuss gesamthaft aufzuerlegen. Ausgangsgemäss hat der Beschwerdeführer keinen Anspruch auf eine Parteientschädigung.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